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rmal"/>
        <w:spacing w:after="120"/>
        <w:jc w:val="left"/>
      </w:pPr>
      <w:r>
        <w:rPr>
          <w:rFonts w:ascii="Calibri" w:cs="Calibri" w:eastAsia="Calibri" w:hAnsi="Calibri"/>
          <w:b/>
          <w:bCs/>
          <w:color w:val="000000"/>
          <w:sz w:val="20"/>
          <w:szCs w:val="20"/>
        </w:rPr>
        <w:t xml:space="preserve">INFORMACJA PRASOWA</w:t>
      </w:r>
    </w:p>
    <w:p>
      <w:pPr>
        <w:pStyle w:val="Heading1"/>
        <w:spacing w:after="160"/>
      </w:pPr>
      <w:r>
        <w:rPr>
          <w:rFonts w:ascii="Calibri" w:cs="Calibri" w:eastAsia="Calibri" w:hAnsi="Calibri"/>
          <w:b/>
          <w:bCs/>
          <w:color w:val="000000"/>
          <w:sz w:val="32"/>
          <w:szCs w:val="32"/>
        </w:rPr>
        <w:t xml:space="preserve">Faktury za pół biliona złotych zamienione na gotówkę. Połowa z dwóch województw</w:t>
      </w:r>
    </w:p>
    <w:p>
      <w:pPr>
        <w:pStyle w:val="Normal"/>
        <w:spacing w:after="200"/>
      </w:pPr>
      <w:r>
        <w:rPr>
          <w:rFonts w:ascii="Calibri" w:cs="Calibri" w:eastAsia="Calibri" w:hAnsi="Calibri"/>
          <w:color w:val="000000"/>
          <w:sz w:val="22"/>
          <w:szCs w:val="22"/>
        </w:rPr>
        <w:t xml:space="preserve">Szczecin, 15 września 2026 — do natychmiastowej publikacji</w:t>
      </w:r>
    </w:p>
    <w:p>
      <w:pPr>
        <w:pStyle w:val="Normal"/>
        <w:spacing w:after="240"/>
      </w:pPr>
      <w:r>
        <w:rPr>
          <w:rFonts w:ascii="Calibri" w:cs="Calibri" w:eastAsia="Calibri" w:hAnsi="Calibri"/>
          <w:color w:val="000000"/>
          <w:sz w:val="24"/>
          <w:szCs w:val="24"/>
        </w:rPr>
        <w:t xml:space="preserve">Zamiast czekać 30, 60 czy 90 dni na przelew od kontrahenta, coraz więcej polskich firm sprzedaje fakturę i dostaje pieniądze od razu. W 2025 r. sfinansowały tak faktury warte 509 mld zł, a 46% tej kwoty przypadło na przedsiębiorców z dwóch województw: mazowieckiego i wielkopolskiego. Licząc na jedną firmę, wygrywa Wielkopolska, gdzie na gotówkę idzie 2,5 raza więcej faktur niż średnio w kraju.</w:t>
      </w:r>
    </w:p>
    <w:p>
      <w:pPr>
        <w:pStyle w:val="Normal"/>
        <w:spacing w:after="200"/>
      </w:pPr>
      <w:r>
        <w:rPr>
          <w:rFonts w:ascii="Calibri" w:cs="Calibri" w:eastAsia="Calibri" w:hAnsi="Calibri"/>
          <w:color w:val="000000"/>
          <w:sz w:val="22"/>
          <w:szCs w:val="22"/>
        </w:rPr>
        <w:t xml:space="preserve">Faktura z odroczonym terminem to kredyt, którego firma udziela własnemu klientowi: towar już pojechał, pieniądze przyjdą za miesiąc albo za trzy. Prawo pozwala umówić się w obrocie między firmami na 60 dni, a i tak część faktur nie jest płacona w terminie: na koniec 2025 r. firmy w Polsce miały w rejestrze BIG InfoMonitor ponad 45 mld zł przeterminowanych długów. Kto nie chce albo nie może czekać, sprzedaje fakturę firmie finansowej, dostaje większość kwoty od ręki, a na przelew od kontrahenta czeka już ktoś inny. W 2025 r. polskie firmy sfinansowały w ten sposób faktury warte 509 455 mln zł. Porównywarka faktoringu Faktomi sprawdziła na danych GUS, skąd te faktury pochodzą, i okazało się, że rynek nie rozkłada się po mapie równo: </w:t>
      </w:r>
      <w:r>
        <w:rPr>
          <w:rFonts w:ascii="Calibri" w:cs="Calibri" w:eastAsia="Calibri" w:hAnsi="Calibri"/>
          <w:b/>
          <w:bCs/>
          <w:color w:val="000000"/>
          <w:sz w:val="22"/>
          <w:szCs w:val="22"/>
        </w:rPr>
        <w:t xml:space="preserve">46%</w:t>
      </w:r>
      <w:r>
        <w:rPr>
          <w:rFonts w:ascii="Calibri" w:cs="Calibri" w:eastAsia="Calibri" w:hAnsi="Calibri"/>
          <w:color w:val="000000"/>
          <w:sz w:val="22"/>
          <w:szCs w:val="22"/>
        </w:rPr>
        <w:t xml:space="preserve"> kwoty przypada na dwa województwa, a trzecie w kolejności śląskie ma niecałe 10%.</w:t>
      </w:r>
    </w:p>
    <w:p>
      <w:pPr>
        <w:pStyle w:val="Heading2"/>
        <w:spacing w:after="120" w:before="320"/>
      </w:pPr>
      <w:r>
        <w:rPr>
          <w:rFonts w:ascii="Calibri" w:cs="Calibri" w:eastAsia="Calibri" w:hAnsi="Calibri"/>
          <w:b/>
          <w:bCs/>
          <w:color w:val="000000"/>
          <w:sz w:val="24"/>
          <w:szCs w:val="24"/>
        </w:rPr>
        <w:t xml:space="preserve">Dwa województwa, połowa kraju</w:t>
      </w:r>
    </w:p>
    <w:p>
      <w:pPr>
        <w:pStyle w:val="Normal"/>
        <w:spacing w:after="200"/>
      </w:pPr>
      <w:r>
        <w:rPr>
          <w:rFonts w:ascii="Calibri" w:cs="Calibri" w:eastAsia="Calibri" w:hAnsi="Calibri"/>
          <w:color w:val="000000"/>
          <w:sz w:val="22"/>
          <w:szCs w:val="22"/>
        </w:rPr>
        <w:t xml:space="preserve">Przedsiębiorcy z Mazowsza sprzedali w 2025 r. faktury za 121,4 mld zł, z Wielkopolski za 114,2 mld zł. Razem to 235,5 mld z 509,5 mld zł w całej Polsce. Trzecie w kolejności śląskie ma 50,0 mld zł (9,8%), a sześć najmniejszych województw, opolskie, podkarpackie, świętokrzyskie, lubuskie, warmińsko-mazurskie i podlaskie, razem 42,7 mld zł, mniej niż samo śląskie. Ta koncentracja ma swoje źródło w strukturze gospodarki: ponad połowę wartości sfinansowanych w Polsce faktur wystawia handel, a to branża dużych hurtowni i sieci, których siedziby skupiają się w dwóch najsilniejszych gospodarczo regionach. Przewaga liderów rośnie: w 2022 r. przypadało na nich 37,4% sprzedanych faktur, w 2025 r. już 46,2%.</w:t>
      </w:r>
    </w:p>
    <w:p>
      <w:pPr>
        <w:pStyle w:val="Heading2"/>
        <w:spacing w:after="120" w:before="320"/>
      </w:pPr>
      <w:r>
        <w:rPr>
          <w:rFonts w:ascii="Calibri" w:cs="Calibri" w:eastAsia="Calibri" w:hAnsi="Calibri"/>
          <w:b/>
          <w:bCs/>
          <w:color w:val="000000"/>
          <w:sz w:val="24"/>
          <w:szCs w:val="24"/>
        </w:rPr>
        <w:t xml:space="preserve">Wielkopolska na firmę</w:t>
      </w:r>
    </w:p>
    <w:p>
      <w:pPr>
        <w:pStyle w:val="Normal"/>
        <w:spacing w:after="200"/>
      </w:pPr>
      <w:r>
        <w:rPr>
          <w:rFonts w:ascii="Calibri" w:cs="Calibri" w:eastAsia="Calibri" w:hAnsi="Calibri"/>
          <w:color w:val="000000"/>
          <w:sz w:val="22"/>
          <w:szCs w:val="22"/>
        </w:rPr>
        <w:t xml:space="preserve">Mazowsze ma 20% wszystkich firm zarejestrowanych w Polsce i 26% sfinansowanych faktur, licząc od sumy województw. Wielkopolska ma 10% firm, a mimo to 24,5% faktur. Na jedną zarejestrowaną firmę przypada więc 215 tys. zł sprzedanych faktur w Wielkopolsce, 111 tys. zł na Mazowszu i 86 tys. zł średnio w kraju. </w:t>
      </w:r>
      <w:r>
        <w:rPr>
          <w:rFonts w:ascii="Calibri" w:cs="Calibri" w:eastAsia="Calibri" w:hAnsi="Calibri"/>
          <w:b/>
          <w:bCs/>
          <w:color w:val="000000"/>
          <w:sz w:val="22"/>
          <w:szCs w:val="22"/>
        </w:rPr>
        <w:t xml:space="preserve">Wielkopolscy przedsiębiorcy zamieniają na gotówkę 2,5 raza więcej faktur na firmę niż przeciętnie w Polsce.</w:t>
      </w:r>
      <w:r>
        <w:rPr>
          <w:rFonts w:ascii="Calibri" w:cs="Calibri" w:eastAsia="Calibri" w:hAnsi="Calibri"/>
          <w:color w:val="000000"/>
          <w:sz w:val="22"/>
          <w:szCs w:val="22"/>
        </w:rPr>
        <w:t xml:space="preserve"> Mazowsze zawdzięcza swój wynik centralom dużych spółek, Wielkopolska gęstej sieci średnich producentów i hurtowni, dla których 60-dniowy termin płatności oznacza zamrożony kapitał obrotowy. Wielkopolskie firmy oddały do sfinansowania 5,96 mln faktur, mazowieckie 3,85 mln. Od 2022 r. Wielkopolska urosła o 58%, Mazowsze o 49%, a luka między nimi zmalała z 8,9 do 7,2 mld zł. Wielkopolska ma dziś 94% wyniku Mazowsza.</w:t>
      </w:r>
    </w:p>
    <w:p>
      <w:pPr>
        <w:pStyle w:val="Heading2"/>
        <w:spacing w:after="120" w:before="320"/>
      </w:pPr>
      <w:r>
        <w:rPr>
          <w:rFonts w:ascii="Calibri" w:cs="Calibri" w:eastAsia="Calibri" w:hAnsi="Calibri"/>
          <w:b/>
          <w:bCs/>
          <w:color w:val="000000"/>
          <w:sz w:val="24"/>
          <w:szCs w:val="24"/>
        </w:rPr>
        <w:t xml:space="preserve">Gdzie faktur przybywa, gdzie ubywa</w:t>
      </w:r>
    </w:p>
    <w:p>
      <w:pPr>
        <w:pStyle w:val="Normal"/>
        <w:spacing w:after="200"/>
      </w:pPr>
      <w:r>
        <w:rPr>
          <w:rFonts w:ascii="Calibri" w:cs="Calibri" w:eastAsia="Calibri" w:hAnsi="Calibri"/>
          <w:color w:val="000000"/>
          <w:sz w:val="22"/>
          <w:szCs w:val="22"/>
        </w:rPr>
        <w:t xml:space="preserve">Najszybciej rosły regiony z końca tabeli: warmińsko-mazurskie (+52,3%), lubelskie (+31,5%), małopolskie (+22,5%) i świętokrzyskie (+21,5%). W małym regionie wystarczy kilka firm, które zaczną sprzedawać faktury, żeby cały wynik skoczył o kilkadziesiąt procent, dlatego te dynamiki mówią więcej o pojedynczych decyzjach niż o koniunkturze. Trzy województwa sfinansowały w 2025 r. faktury za mniejszą kwotę niż rok wcześniej: dolnośląskie (−2,4%), choć to wciąż czwarty rynek w kraju, kujawsko-pomorskie (−2,3%) i pomorskie (−0,6%). Najmniej faktur zamieniają na gotówkę firmy z Podlasia: 4,9 mld zł, 1% kraju.</w:t>
      </w:r>
    </w:p>
    <w:tbl>
      <w:tblPr>
        <w:tblW w:type="dxa" w:w="9026"/>
        <w:tblBorders>
          <w:top w:val="single" w:color="CCCCCC" w:sz="4"/>
          <w:left w:val="single" w:color="CCCCCC" w:sz="4"/>
          <w:bottom w:val="single" w:color="CCCCCC" w:sz="4"/>
          <w:right w:val="single" w:color="CCCCCC" w:sz="4"/>
          <w:insideH w:val="single" w:color="CCCCCC" w:sz="4"/>
          <w:insideV w:val="single" w:color="CCCCCC" w:sz="4"/>
        </w:tblBorders>
        <w:tblLayout w:type="fixed"/>
      </w:tblPr>
      <w:tblGrid>
        <w:gridCol w:w="3069"/>
        <w:gridCol w:w="1489"/>
        <w:gridCol w:w="1489"/>
        <w:gridCol w:w="1489"/>
        <w:gridCol w:w="1490"/>
      </w:tblGrid>
      <w:tr>
        <w:trPr>
          <w:tblHeader/>
        </w:trPr>
        <w:tc>
          <w:tcPr>
            <w:tcW w:type="dxa" w:w="3069"/>
            <w:tcMar>
              <w:top w:type="dxa" w:w="60"/>
              <w:left w:type="dxa" w:w="80"/>
              <w:bottom w:type="dxa" w:w="60"/>
              <w:right w:type="dxa" w:w="80"/>
            </w:tcMar>
          </w:tcPr>
          <w:p>
            <w:pPr>
              <w:pStyle w:val="Normal"/>
              <w:spacing w:after="0"/>
              <w:jc w:val="left"/>
            </w:pPr>
            <w:r>
              <w:rPr>
                <w:rFonts w:ascii="Calibri" w:cs="Calibri" w:eastAsia="Calibri" w:hAnsi="Calibri"/>
                <w:b/>
                <w:bCs/>
                <w:color w:val="000000"/>
                <w:sz w:val="20"/>
                <w:szCs w:val="20"/>
              </w:rPr>
              <w:t xml:space="preserve">Województwo</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b/>
                <w:bCs/>
                <w:color w:val="000000"/>
                <w:sz w:val="20"/>
                <w:szCs w:val="20"/>
              </w:rPr>
              <w:t xml:space="preserve">Sprzedane faktury 2025, mld zł</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b/>
                <w:bCs/>
                <w:color w:val="000000"/>
                <w:sz w:val="20"/>
                <w:szCs w:val="20"/>
              </w:rPr>
              <w:t xml:space="preserve">Udział</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b/>
                <w:bCs/>
                <w:color w:val="000000"/>
                <w:sz w:val="20"/>
                <w:szCs w:val="20"/>
              </w:rPr>
              <w:t xml:space="preserve">r/r</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b/>
                <w:bCs/>
                <w:color w:val="000000"/>
                <w:sz w:val="20"/>
                <w:szCs w:val="20"/>
              </w:rPr>
              <w:t xml:space="preserve">Na jedną firmę, tys. zł</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Mazowieckie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121,4</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23,8%</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+13,2%</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111</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Wielkopolskie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114,2</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22,4%</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+13,4%</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215</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Śląskie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50,0</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9,8%</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+9,2%</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90</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Dolnośląskie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33,4</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6,6%</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−2,4%</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71</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Małopolskie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24,9</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4,9%</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+22,5%</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48</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Pomorskie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21,8</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4,3%</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−0,6%</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57</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Łódzkie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19,4</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3,8%</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+16,2%</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65</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Kujawsko-Pomorskie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13,6</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2,7%</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−2,3%</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58</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Lubelskie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12,8</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2,5%</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+31,5%</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58</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Zachodniopomorskie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12,5</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2,5%</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+14,4%</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48</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Opolskie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11,7</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2,3%</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+3,1%</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100</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Podkarpackie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7,8</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1,5%</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+2,8%</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35</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Świętokrzyskie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7,1</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1,4%</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+21,5%</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53</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Lubuskie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6,1</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1,2%</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+13,5%</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45</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Warmińsko-Mazurskie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5,1</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1,0%</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+52,3%</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33</w:t>
            </w:r>
          </w:p>
        </w:tc>
      </w:tr>
      <w:tr>
        <w:tc>
          <w:tcPr>
            <w:tcW w:type="dxa" w:w="3069"/>
            <w:tcMar>
              <w:top w:type="dxa" w:w="60"/>
              <w:left w:type="dxa" w:w="80"/>
              <w:bottom w:type="dxa" w:w="60"/>
              <w:right w:type="dxa" w:w="80"/>
            </w:tcMar>
          </w:tcPr>
          <w:p>
            <w:pPr>
              <w:pStyle w:val="Normal"/>
              <w:spacing w:after="0"/>
              <w:jc w:val="left"/>
            </w:pPr>
            <w:r>
              <w:rPr>
                <w:rFonts w:ascii="Calibri" w:cs="Calibri" w:eastAsia="Calibri" w:hAnsi="Calibri"/>
                <w:color w:val="000000"/>
                <w:sz w:val="20"/>
                <w:szCs w:val="20"/>
              </w:rPr>
              <w:t xml:space="preserve">Podlaskie</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4,9</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1,0%</w:t>
            </w:r>
          </w:p>
        </w:tc>
        <w:tc>
          <w:tcPr>
            <w:tcW w:type="dxa" w:w="1489"/>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+9,1%</w:t>
            </w:r>
          </w:p>
        </w:tc>
        <w:tc>
          <w:tcPr>
            <w:tcW w:type="dxa" w:w="1490"/>
            <w:tcMar>
              <w:top w:type="dxa" w:w="60"/>
              <w:left w:type="dxa" w:w="80"/>
              <w:bottom w:type="dxa" w:w="60"/>
              <w:right w:type="dxa" w:w="80"/>
            </w:tcMar>
          </w:tcPr>
          <w:p>
            <w:pPr>
              <w:pStyle w:val="Normal"/>
              <w:spacing w:after="0"/>
              <w:jc w:val="right"/>
            </w:pPr>
            <w:r>
              <w:rPr>
                <w:rFonts w:ascii="Calibri" w:cs="Calibri" w:eastAsia="Calibri" w:hAnsi="Calibri"/>
                <w:color w:val="000000"/>
                <w:sz w:val="20"/>
                <w:szCs w:val="20"/>
              </w:rPr>
              <w:t xml:space="preserve">39</w:t>
            </w:r>
          </w:p>
        </w:tc>
      </w:tr>
    </w:tbl>
    <w:p>
      <w:pPr>
        <w:pStyle w:val="Normal"/>
        <w:spacing w:after="160"/>
      </w:pPr>
    </w:p>
    <w:p>
      <w:pPr>
        <w:pStyle w:val="Heading2"/>
        <w:spacing w:after="120" w:before="320"/>
      </w:pPr>
      <w:r>
        <w:rPr>
          <w:rFonts w:ascii="Calibri" w:cs="Calibri" w:eastAsia="Calibri" w:hAnsi="Calibri"/>
          <w:b/>
          <w:bCs/>
          <w:color w:val="000000"/>
          <w:sz w:val="24"/>
          <w:szCs w:val="24"/>
        </w:rPr>
        <w:t xml:space="preserve">Łódzkie: dużo faktur, ale drobnych</w:t>
      </w:r>
    </w:p>
    <w:p>
      <w:pPr>
        <w:pStyle w:val="Normal"/>
        <w:spacing w:after="200"/>
      </w:pPr>
      <w:r>
        <w:rPr>
          <w:rFonts w:ascii="Calibri" w:cs="Calibri" w:eastAsia="Calibri" w:hAnsi="Calibri"/>
          <w:color w:val="000000"/>
          <w:sz w:val="22"/>
          <w:szCs w:val="22"/>
        </w:rPr>
        <w:t xml:space="preserve">Firmy z łódzkiego oddały do sfinansowania 7,27 mln faktur, co czwartą w Polsce, ale warte razem tylko 19,4 mld zł, czyli 3,8% kraju. Przeciętna faktura z łódzkiego to 2,7 tys. zł wobec 18,6 tys. zł w Polsce. Faktura za 2,7 tys. zł to rachunek za pojedynczą dostawę albo usługę, nie za kontrakt. Ktoś w łódzkim wystawia miliony takich rachunków i nie czeka na żaden z nich, i to od lat, bo GUS notuje ten wzorzec od 2022 r. Dane nie mówią, jaka branża za tym stoi.</w:t>
      </w:r>
    </w:p>
    <w:p>
      <w:pPr>
        <w:pStyle w:val="Heading2"/>
        <w:spacing w:after="120" w:before="320"/>
      </w:pPr>
      <w:r>
        <w:rPr>
          <w:rFonts w:ascii="Calibri" w:cs="Calibri" w:eastAsia="Calibri" w:hAnsi="Calibri"/>
          <w:b/>
          <w:bCs/>
          <w:color w:val="000000"/>
          <w:sz w:val="24"/>
          <w:szCs w:val="24"/>
        </w:rPr>
        <w:t xml:space="preserve">Zaległości to inna mapa</w:t>
      </w:r>
    </w:p>
    <w:p>
      <w:pPr>
        <w:pStyle w:val="Normal"/>
        <w:spacing w:after="200"/>
      </w:pPr>
      <w:r>
        <w:rPr>
          <w:rFonts w:ascii="Calibri" w:cs="Calibri" w:eastAsia="Calibri" w:hAnsi="Calibri"/>
          <w:color w:val="000000"/>
          <w:sz w:val="22"/>
          <w:szCs w:val="22"/>
        </w:rPr>
        <w:t xml:space="preserve">Województwa, w których sprzedaje się najwięcej faktur, nie są tymi, w których najgorzej się płaci. Według rejestru BIG InfoMonitor firmy z Mazowsza mają najwięcej przeterminowanych długów, 12,1 mld zł, i drugi najwyższy dług na dłużnika, 192 tys. zł. Wielkopolska przy niemal równej sprzedaży faktur ma 4,6 mld zł zaległości, niemal trzy razy mniej. Najwyższy średni dług, 196 tys. zł, mają firmy z Podkarpacia, czyli z regionu, w którym faktury sprzedaje się najrzadziej po Warmii i Mazurach. Można by oczekiwać odwrotnie, bo to właśnie tam pieniądze z faktury przydałyby się najszybciej. Dane nie rozstrzygają, czy jedno wynika z drugiego.</w:t>
      </w:r>
    </w:p>
    <w:p>
      <w:pPr>
        <w:pStyle w:val="Heading2"/>
        <w:spacing w:after="120" w:before="320"/>
      </w:pPr>
      <w:r>
        <w:rPr>
          <w:rFonts w:ascii="Calibri" w:cs="Calibri" w:eastAsia="Calibri" w:hAnsi="Calibri"/>
          <w:b/>
          <w:bCs/>
          <w:color w:val="000000"/>
          <w:sz w:val="24"/>
          <w:szCs w:val="24"/>
        </w:rPr>
        <w:t xml:space="preserve">Skala różni regiony, dostęp nie</w:t>
      </w:r>
    </w:p>
    <w:p>
      <w:pPr>
        <w:pStyle w:val="Normal"/>
        <w:spacing w:after="200"/>
      </w:pPr>
      <w:r>
        <w:rPr>
          <w:rFonts w:ascii="Calibri" w:cs="Calibri" w:eastAsia="Calibri" w:hAnsi="Calibri"/>
          <w:color w:val="000000"/>
          <w:sz w:val="22"/>
          <w:szCs w:val="22"/>
        </w:rPr>
        <w:t xml:space="preserve">W skali kraju z takiego finansowania korzysta nieco ponad jedna firma na sto: 31 709 przy ponad 2,8 mln aktywnych przedsiębiorstw. Różnice między województwami dotyczą tego, jak często firmy po nie sięgają, a nie tego, czy mogą. Umowę z firmą finansową zawiera się zdalnie, a każda z 36 firm w bazie Faktomi obsługuje klientów z całej Polski, więc przedsiębiorca z Podlasia wybiera z tych samych 109 ofert co przedsiębiorca z Warszawy. Porównać je i sprawdzić, ile kosztuje sprzedaż konkretnej faktury, można na </w:t>
      </w:r>
      <w:hyperlink w:history="1" r:id="rId-9j3cr8mbsxf3t2fr92fz">
        <w:r>
          <w:rPr>
            <w:rStyle w:val="Hyperlink"/>
            <w:rFonts w:ascii="Calibri" w:cs="Calibri" w:eastAsia="Calibri" w:hAnsi="Calibri"/>
            <w:sz w:val="22"/>
            <w:szCs w:val="22"/>
          </w:rPr>
          <w:t xml:space="preserve">faktomi.pl</w:t>
        </w:r>
      </w:hyperlink>
      <w:r>
        <w:rPr>
          <w:rFonts w:ascii="Calibri" w:cs="Calibri" w:eastAsia="Calibri" w:hAnsi="Calibri"/>
          <w:color w:val="000000"/>
          <w:sz w:val="22"/>
          <w:szCs w:val="22"/>
        </w:rPr>
        <w:t xml:space="preserve">.</w:t>
      </w:r>
    </w:p>
    <w:p>
      <w:pPr>
        <w:pStyle w:val="Normal"/>
        <w:spacing w:after="80" w:before="240"/>
        <w:ind w:left="567"/>
      </w:pPr>
      <w:r>
        <w:rPr>
          <w:rFonts w:ascii="Calibri" w:cs="Calibri" w:eastAsia="Calibri" w:hAnsi="Calibri"/>
          <w:i/>
          <w:iCs/>
          <w:color w:val="000000"/>
          <w:sz w:val="22"/>
          <w:szCs w:val="22"/>
        </w:rPr>
        <w:t xml:space="preserve">„Ta mapa pokazuje, gdzie w Polsce działają firmy, które nie mogą sobie pozwolić na czekanie: przemysł i handel hurtowy, z dużymi fakturami i długimi terminami płatności. Zaskoczyło mnie co innego. W regionach, gdzie firmy mają najwyższe średnie długi, faktur sprzedaje się najmniej. Spodziewałbym się odwrotnie, bo to właśnie tam pieniądze z faktury przydałyby się najszybciej.”</w:t>
      </w:r>
    </w:p>
    <w:p>
      <w:pPr>
        <w:pStyle w:val="Normal"/>
        <w:spacing w:after="240"/>
        <w:ind w:left="567"/>
      </w:pPr>
      <w:r>
        <w:rPr>
          <w:rFonts w:ascii="Calibri" w:cs="Calibri" w:eastAsia="Calibri" w:hAnsi="Calibri"/>
          <w:color w:val="000000"/>
          <w:sz w:val="22"/>
          <w:szCs w:val="22"/>
        </w:rPr>
        <w:t xml:space="preserve">Mateusz Mazurek, Założyciel Faktomi</w:t>
      </w:r>
    </w:p>
    <w:p>
      <w:pPr>
        <w:pStyle w:val="Normal"/>
        <w:spacing w:after="200"/>
      </w:pPr>
      <w:r>
        <w:rPr>
          <w:rFonts w:ascii="Calibri" w:cs="Calibri" w:eastAsia="Calibri" w:hAnsi="Calibri"/>
          <w:color w:val="000000"/>
          <w:sz w:val="22"/>
          <w:szCs w:val="22"/>
        </w:rPr>
        <w:t xml:space="preserve">Dane o sfinansowanych fakturach pochodzą z publikacji GUS „Działalność faktoringowa przedsiębiorstw finansowych w 2025 r.” (faktoring krajowy według siedziby klienta), liczba firm w województwach z rejestru REGON (GUS, stan na 31 grudnia 2025 r.), a zaległości z raportu BIG InfoMonitor „Mapa kondycji płatniczej firm” (stan na koniec 2025 r.). Wskaźnik na firmę to wartość sprzedanych faktur podzielona przez liczbę podmiotów zarejestrowanych w województwie; liczba firm korzystających z finansowania jest podana za GUS.</w:t>
      </w:r>
    </w:p>
    <w:p>
      <w:pPr>
        <w:pStyle w:val="Normal"/>
        <w:pBdr>
          <w:bottom w:val="single" w:color="BBBBBB" w:sz="6" w:space="1"/>
        </w:pBdr>
        <w:spacing w:after="240" w:before="360"/>
      </w:pPr>
    </w:p>
    <w:p>
      <w:pPr>
        <w:pStyle w:val="Heading2"/>
        <w:spacing w:after="120" w:before="320"/>
      </w:pPr>
      <w:r>
        <w:rPr>
          <w:rFonts w:ascii="Calibri" w:cs="Calibri" w:eastAsia="Calibri" w:hAnsi="Calibri"/>
          <w:b/>
          <w:bCs/>
          <w:color w:val="000000"/>
          <w:sz w:val="20"/>
          <w:szCs w:val="20"/>
        </w:rPr>
        <w:t xml:space="preserve">O Faktomi</w:t>
      </w:r>
    </w:p>
    <w:p>
      <w:pPr>
        <w:pStyle w:val="Normal"/>
        <w:spacing w:after="240"/>
      </w:pPr>
      <w:r>
        <w:rPr>
          <w:rFonts w:ascii="Calibri" w:cs="Calibri" w:eastAsia="Calibri" w:hAnsi="Calibri"/>
          <w:color w:val="000000"/>
          <w:sz w:val="20"/>
          <w:szCs w:val="20"/>
        </w:rPr>
        <w:t xml:space="preserve">Faktomi to niezależna porównywarka faktoringu — finansowania, w którym firma dostaje pieniądze za fakturę od razu, zamiast czekać 30, 60 czy 90 dni na przelew od kontrahenta. Pomagamy polskim mikro-, małym i średnim firmom wybrać faktora: czytamy tabele opłat i umowy, wyliczamy realny koszt i porównujemy oferty banków oraz firm pozabankowych. Dane o ofertach sprawdzamy u źródła i aktualizujemy na bieżąco. Korzystanie z Faktomi jest bezpłatne.</w:t>
      </w:r>
    </w:p>
    <w:p>
      <w:pPr>
        <w:pStyle w:val="Heading2"/>
        <w:spacing w:after="120" w:before="320"/>
      </w:pPr>
      <w:r>
        <w:rPr>
          <w:rFonts w:ascii="Calibri" w:cs="Calibri" w:eastAsia="Calibri" w:hAnsi="Calibri"/>
          <w:b/>
          <w:bCs/>
          <w:color w:val="000000"/>
          <w:sz w:val="20"/>
          <w:szCs w:val="20"/>
        </w:rPr>
        <w:t xml:space="preserve">Kontakt dla mediów</w:t>
      </w:r>
    </w:p>
    <w:p>
      <w:pPr>
        <w:pStyle w:val="Normal"/>
        <w:spacing w:after="40"/>
      </w:pPr>
      <w:r>
        <w:rPr>
          <w:rFonts w:ascii="Calibri" w:cs="Calibri" w:eastAsia="Calibri" w:hAnsi="Calibri"/>
          <w:color w:val="000000"/>
          <w:sz w:val="20"/>
          <w:szCs w:val="20"/>
        </w:rPr>
        <w:t xml:space="preserve">Mateusz Mazurek</w:t>
      </w:r>
    </w:p>
    <w:p>
      <w:pPr>
        <w:pStyle w:val="Normal"/>
        <w:spacing w:after="240"/>
      </w:pPr>
      <w:hyperlink w:history="1" r:id="rIdj-rvhw5leuvtaivwzndln">
        <w:r>
          <w:rPr>
            <w:rStyle w:val="Hyperlink"/>
            <w:rFonts w:ascii="Calibri" w:cs="Calibri" w:eastAsia="Calibri" w:hAnsi="Calibri"/>
            <w:sz w:val="20"/>
            <w:szCs w:val="20"/>
          </w:rPr>
          <w:t xml:space="preserve">media@faktomi.pl</w:t>
        </w:r>
      </w:hyperlink>
    </w:p>
    <w:p>
      <w:pPr>
        <w:pStyle w:val="Normal"/>
      </w:pPr>
      <w:r>
        <w:rPr>
          <w:rFonts w:ascii="Calibri" w:cs="Calibri" w:eastAsia="Calibri" w:hAnsi="Calibri"/>
          <w:color w:val="555555"/>
          <w:sz w:val="20"/>
          <w:szCs w:val="20"/>
        </w:rPr>
        <w:t xml:space="preserve">Faktomi · faktomi.pl · aktualne materiały prasowe: </w:t>
      </w:r>
      <w:hyperlink w:history="1" r:id="rIdwtrmmde9grpu1z56cxdow">
        <w:r>
          <w:rPr>
            <w:rStyle w:val="Hyperlink"/>
            <w:rFonts w:ascii="Calibri" w:cs="Calibri" w:eastAsia="Calibri" w:hAnsi="Calibri"/>
            <w:sz w:val="20"/>
            <w:szCs w:val="20"/>
          </w:rPr>
          <w:t xml:space="preserve">faktomi.pl/dla-mediow</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6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0"/>
    </w:pPr>
    <w:rPr>
      <w:rFonts w:ascii="Calibri" w:cs="Calibri" w:eastAsia="Calibri" w:hAnsi="Calibri"/>
      <w:b/>
      <w:bCs/>
      <w:color w:val="000000"/>
      <w:sz w:val="32"/>
      <w:szCs w:val="32"/>
    </w:rPr>
  </w:style>
  <w:style w:type="paragraph" w:styleId="Heading2">
    <w:name w:val="Heading 2"/>
    <w:basedOn w:val="Normal"/>
    <w:next w:val="Normal"/>
    <w:qFormat/>
    <w:pPr>
      <w:spacing w:after="120" w:before="320"/>
    </w:pPr>
    <w:rPr>
      <w:rFonts w:ascii="Calibri" w:cs="Calibri" w:eastAsia="Calibri" w:hAnsi="Calibri"/>
      <w:b/>
      <w:bCs/>
      <w:color w:val="000000"/>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pPr>
      <w:spacing w:after="160" w:line="276"/>
    </w:pPr>
    <w:rPr>
      <w:rFonts w:ascii="Calibri" w:cs="Calibri" w:eastAsia="Calibri" w:hAnsi="Calibri"/>
      <w:color w:val="00000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j3cr8mbsxf3t2fr92fz" Type="http://schemas.openxmlformats.org/officeDocument/2006/relationships/hyperlink" Target="https://faktomi.pl" TargetMode="External"/><Relationship Id="rIdj-rvhw5leuvtaivwzndln" Type="http://schemas.openxmlformats.org/officeDocument/2006/relationships/hyperlink" Target="mailto:media@faktomi.pl" TargetMode="External"/><Relationship Id="rIdwtrmmde9grpu1z56cxdow" Type="http://schemas.openxmlformats.org/officeDocument/2006/relationships/hyperlink" Target="https://faktomi.pl/dla-mediow/"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Faktury za pół biliona złotych zamienione na gotówkę. Połowa z dwóch województw</dc:title>
  <dc:creator>Faktomi</dc:creator>
  <dc:description>Zamiast czekać 30, 60 czy 90 dni na przelew od kontrahenta, coraz więcej polskich firm sprzedaje fakturę i dostaje pieniądze od razu. W 2025 r. sfinansowały tak faktury warte 509 mld zł, a 46% tej kwoty przypadło na przedsiębiorców z dwóch województw: mazowieckiego i wielkopolskiego. Licząc na jedną firmę, wygrywa Wielkopolska, gdzie na gotówkę idzie 2,5 raza więcej faktur niż średnio w kraju.</dc:description>
  <cp:lastModifiedBy>Un-named</cp:lastModifiedBy>
  <cp:revision>1</cp:revision>
  <dcterms:created xsi:type="dcterms:W3CDTF">2026-09-15T05:22:41.398Z</dcterms:created>
  <dcterms:modified xsi:type="dcterms:W3CDTF">2026-09-15T05:22:41.398Z</dcterms:modified>
</cp:coreProperties>
</file>

<file path=docProps/custom.xml><?xml version="1.0" encoding="utf-8"?>
<Properties xmlns="http://schemas.openxmlformats.org/officeDocument/2006/custom-properties" xmlns:vt="http://schemas.openxmlformats.org/officeDocument/2006/docPropsVTypes"/>
</file>